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/>
      </w:pPr>
      <w:r>
        <w:rPr/>
        <w:drawing>
          <wp:inline distT="0" distB="0" distL="0" distR="0">
            <wp:extent cx="455295" cy="72453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36" t="-2536" r="-3936" b="-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spacing w:before="0" w:after="6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область-Кузбасс</w:t>
      </w:r>
    </w:p>
    <w:p>
      <w:pPr>
        <w:pStyle w:val="Normal"/>
        <w:shd w:fill="FFFFFF" w:val="clear"/>
        <w:spacing w:before="0" w:after="6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Анжеро-Судженский городской округ</w:t>
      </w:r>
    </w:p>
    <w:p>
      <w:pPr>
        <w:pStyle w:val="Normal"/>
        <w:spacing w:lineRule="auto" w:line="360"/>
        <w:ind w:hang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Совет народных депутатов Анжеро-Судженского городского округа</w:t>
      </w:r>
    </w:p>
    <w:p>
      <w:pPr>
        <w:pStyle w:val="Normal"/>
        <w:spacing w:lineRule="auto" w:line="480"/>
        <w:ind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spacing w:lineRule="auto" w:line="480"/>
        <w:ind w:hanging="0"/>
        <w:jc w:val="center"/>
        <w:rPr/>
      </w:pPr>
      <w:r>
        <w:rPr>
          <w:rStyle w:val="Style14"/>
          <w:b/>
          <w:bCs/>
          <w:sz w:val="28"/>
          <w:szCs w:val="28"/>
          <w:lang w:eastAsia="ru-RU"/>
        </w:rPr>
        <w:t>от «26» февраля 2026 г. № 440</w:t>
      </w:r>
    </w:p>
    <w:p>
      <w:pPr>
        <w:pStyle w:val="Normal"/>
        <w:ind w:hanging="0"/>
        <w:jc w:val="both"/>
        <w:rPr/>
      </w:pPr>
      <w:r>
        <w:rPr/>
        <w:t>Принято на сессии Совета народных депутатов</w:t>
      </w:r>
    </w:p>
    <w:p>
      <w:pPr>
        <w:pStyle w:val="Normal"/>
        <w:ind w:hanging="0"/>
        <w:jc w:val="both"/>
        <w:rPr/>
      </w:pPr>
      <w:r>
        <w:rPr/>
        <w:t>Анжеро-Судженского городского округа</w:t>
      </w:r>
    </w:p>
    <w:p>
      <w:pPr>
        <w:pStyle w:val="Normal"/>
        <w:ind w:hanging="0"/>
        <w:jc w:val="both"/>
        <w:rPr/>
      </w:pPr>
      <w:r>
        <w:rPr/>
        <w:t>«26» февраля 2026 г.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ind w:firstLine="709"/>
        <w:jc w:val="center"/>
        <w:rPr/>
      </w:pPr>
      <w:r>
        <w:rPr>
          <w:rStyle w:val="Style14"/>
          <w:rFonts w:cs="Times New Roman" w:ascii="Times New Roman" w:hAnsi="Times New Roman"/>
          <w:bCs/>
          <w:sz w:val="26"/>
          <w:szCs w:val="26"/>
        </w:rPr>
        <w:t>Об утверждении Положения о денежном вознаграждении главы Анжеро-Судженского городского округа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упорядочения оплаты труда главы Анжеро-Судженского городского округа, в соответствии Федеральным законом от 20 марта 2025 года №33-ФЗ «Об общих принципах организации местного самоуправления в единой системе публичной власти», Законом Кемеровской области от 25 апреля 2008 года №31-ОЗ «О гарантиях осуществления полномочий депутатов представительных органов муниципальных образований и лиц, замещающих муниципальные должности», постановлением Правительства Кемеровской области - Кузбасса от 22 декабря 2021 года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определяет порядок установления денежного содержания муниципальным служащим и денежного вознаграждения лицам, замещающим муниципальные должности органов местного самоуправления муниципального образования «Анжеро-Судженский городской округ», Совет народных депутатов Анжеро-Судженского городского округа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РЕШИЛ: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 Утвердить Положения о денежном вознаграждении главы Анжеро-Судженского городского округа согласно приложению к настоящему решению.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 Опубликовать настоящее решение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www.anzhero.ru.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 Настоящее решение вступает в силу после его официального опубликования и распространяет свое действие на правоотношения, возникшие с 01.01.2026 года.</w:t>
      </w:r>
    </w:p>
    <w:p>
      <w:pPr>
        <w:pStyle w:val="ConsPlusNormal"/>
        <w:ind w:firstLine="709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6"/>
          <w:szCs w:val="26"/>
        </w:rPr>
        <w:t xml:space="preserve">4. </w:t>
      </w:r>
      <w:r>
        <w:rPr>
          <w:rStyle w:val="Style14"/>
          <w:rFonts w:cs="Times New Roman" w:ascii="Times New Roman" w:hAnsi="Times New Roman"/>
          <w:sz w:val="26"/>
          <w:szCs w:val="26"/>
        </w:rPr>
        <w:t>Контроль за исполнением настоящего решения возложить на председателя Совета народных депутатов Анжеро-Судженского городского округа Рогалиса В.А., главу Анжеро-Судженского городского округа Ажичакова Д.В.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Председатель Совета народных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депутатов городского округа                                                                      В.А. Рогалис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Глава городского округа                                                                               Д.В. Ажичаков</w:t>
      </w:r>
      <w:r>
        <w:br w:type="page"/>
      </w:r>
    </w:p>
    <w:p>
      <w:pPr>
        <w:pStyle w:val="Style18"/>
        <w:rPr/>
      </w:pPr>
      <w:r>
        <w:rPr/>
      </w:r>
    </w:p>
    <w:p>
      <w:pPr>
        <w:pStyle w:val="ConsPlusNormal"/>
        <w:ind w:firstLine="709"/>
        <w:jc w:val="en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</w:t>
      </w:r>
    </w:p>
    <w:p>
      <w:pPr>
        <w:pStyle w:val="ConsPlusNormal"/>
        <w:ind w:firstLine="709"/>
        <w:jc w:val="en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решению Совета народных депутатов</w:t>
      </w:r>
    </w:p>
    <w:p>
      <w:pPr>
        <w:pStyle w:val="ConsPlusNormal"/>
        <w:ind w:firstLine="709"/>
        <w:jc w:val="en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Анжеро-Судженского городского округа</w:t>
      </w:r>
    </w:p>
    <w:p>
      <w:pPr>
        <w:pStyle w:val="ConsPlusNormal"/>
        <w:ind w:firstLine="709"/>
        <w:jc w:val="en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от «26» февраля 2026 года №440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Положение о денежном вознаграждении </w:t>
      </w:r>
    </w:p>
    <w:p>
      <w:pPr>
        <w:pStyle w:val="ConsPlusNormal"/>
        <w:jc w:val="center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</w:rPr>
        <w:t>главы Анжеро-Судженского городского округа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Настоящее положение разработано в соответствии Федеральным законом от 20 марта 2025 года №33-ФЗ «Об общих принципах организации местного самоуправления в единой системе публичной власти», Законом Кемеровской области от 25 апреля 2008 года №31-ОЗ «О гарантиях осуществления полномочий депутатов представительных органов муниципальных образований и лиц, замещающих муниципальные должности», постановлением Правительства Кемеровской области - Кузбасса от 22 декабря 2021 года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и определяет порядок установления и размер денежного вознаграждении главы Анжеро-Судженского городского округа (далее - глава городского округа).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Оплата труда главы городского округа, производится в виде ежемесячного денежного вознаграждения.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Ежемесячное денежное вознаграждение главы городского округа включает в себя: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месячный оклад в размере 55 100 рублей;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денежное содержание в размере 97 195 рублей;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надбавку за особые условия работы в размере 40 процентов денежного содержания;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надбавку за работу со сведениями, составляющими государственную тайну в размере, определяемом законодательством Российской Федерации, в процентах от месячного оклада;</w:t>
      </w:r>
    </w:p>
    <w:p>
      <w:pPr>
        <w:pStyle w:val="Normal"/>
        <w:jc w:val="both"/>
        <w:rPr/>
      </w:pPr>
      <w:r>
        <w:rPr>
          <w:rStyle w:val="Style14"/>
          <w:color w:val="000000"/>
          <w:sz w:val="28"/>
          <w:szCs w:val="28"/>
        </w:rPr>
        <w:t>- надбавку за ученую степень, ученое звание и почетное звание Российской Федерации в следующих размерах:</w:t>
      </w:r>
    </w:p>
    <w:p>
      <w:pPr>
        <w:pStyle w:val="Normal"/>
        <w:jc w:val="both"/>
        <w:rPr/>
      </w:pPr>
      <w:r>
        <w:rPr>
          <w:rStyle w:val="Style14"/>
          <w:color w:val="000000"/>
          <w:sz w:val="28"/>
          <w:szCs w:val="28"/>
        </w:rPr>
        <w:t>кандидатам наук, а также лицам, имеющим почетное звание Российской Федерации - в размере 10 процентов должностного</w:t>
      </w:r>
      <w:r>
        <w:rPr>
          <w:rStyle w:val="Style14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Style14"/>
          <w:color w:val="000000"/>
          <w:sz w:val="28"/>
          <w:szCs w:val="28"/>
        </w:rPr>
        <w:t>оклада;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докторам наук или профессорам - в размере 20 процентов должностного оклада;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наличии нескольких ученых степеней, ученых званий и почетных званий Российской Федерации надбавка осуществляется за каждую ученую степень, ученое звание и почетное звание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К денежному вознаграждению главы городского округа, устанавливается районный коэффициент в размере 30 процентов.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Один раз в год главе городского округа выплачиваются материальная помощь в размере одного денежного вознаграждения с учетом районного коэффициента и единовременная выплата при предоставлении ежегодного оплачиваемого отпуска в размере одного денежного вознаграждения с учетом районного коэффициента.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невыплаты главе городского округа единовременной выплаты к отпуску и материальной помощи в течение календарного года они выплачиваются ему, по заявлению, одновременно с денежным вознаграждением за декабрь текущего года, пропорционально фактически отработанному времени.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 Фонд оплаты труда главы городского округа составляет 14 денежных вознаграждений.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7. Размер денежного вознаграждения главы городского округа индексируется с учетом изменения размера оплаты труда государственным служащим Кемеровской области – Кузбасса по решению Совета народных депутатов Анжеро-Судженского городского округа.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индексации денежного вознаграждения его размеры подлежат округлению до целого рубля в сторону увеличения.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индексации или повышении должностных окладов в течение календарного года, суммы ранее выплаченной материальной помощи и единовременной выплаты при предоставлении отпуска подлежат перерасчету, по результатам которого производится доплата исходя из разницы между двумя денежными вознаграждениями (до увеличения и после увеличения) по выплаченной материальной помощи и единовременной выплате с учетом районного коэффициента в текущем календарном году.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8. Оплата труда лица, временно исполняющего обязанности главы городского округа регулируется нормативно правовым актом Совета народных депутатов Анжеро-Судженского городского округа.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993" w:footer="0" w:bottom="568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PT Astra Serif">
    <w:charset w:val="cc" w:characterSet="windows-1251"/>
    <w:family w:val="roman"/>
    <w:pitch w:val="default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09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15">
    <w:name w:val="Название Знак"/>
    <w:qFormat/>
    <w:rPr>
      <w:b/>
      <w:bCs/>
      <w:color w:val="000000"/>
      <w:sz w:val="24"/>
    </w:rPr>
  </w:style>
  <w:style w:type="character" w:styleId="Style16">
    <w:name w:val="Текст выноски Знак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bidi="ru-RU"/>
    </w:rPr>
  </w:style>
  <w:style w:type="character" w:styleId="Style17">
    <w:name w:val="Строгий"/>
    <w:qFormat/>
    <w:rPr>
      <w:b/>
      <w:bCs/>
    </w:rPr>
  </w:style>
  <w:style w:type="paragraph" w:styleId="2user">
    <w:name w:val="Заголовок 2 (user)"/>
    <w:basedOn w:val="Style19"/>
    <w:next w:val="BodyText"/>
    <w:qFormat/>
    <w:pPr>
      <w:numPr>
        <w:ilvl w:val="1"/>
        <w:numId w:val="1"/>
      </w:numPr>
      <w:tabs>
        <w:tab w:val="clear" w:pos="708"/>
        <w:tab w:val="left" w:pos="0" w:leader="none"/>
      </w:tabs>
      <w:suppressAutoHyphens w:val="true"/>
      <w:spacing w:before="200" w:after="120"/>
      <w:outlineLvl w:val="1"/>
    </w:pPr>
    <w:rPr>
      <w:sz w:val="32"/>
      <w:szCs w:val="32"/>
    </w:rPr>
  </w:style>
  <w:style w:type="paragraph" w:styleId="3user">
    <w:name w:val="Заголовок 3 (user)"/>
    <w:basedOn w:val="Style19"/>
    <w:next w:val="BodyText"/>
    <w:qFormat/>
    <w:pPr>
      <w:numPr>
        <w:ilvl w:val="2"/>
        <w:numId w:val="1"/>
      </w:numPr>
      <w:tabs>
        <w:tab w:val="clear" w:pos="708"/>
        <w:tab w:val="left" w:pos="0" w:leader="none"/>
      </w:tabs>
      <w:suppressAutoHyphens w:val="true"/>
      <w:spacing w:before="140" w:after="120"/>
      <w:outlineLvl w:val="2"/>
    </w:pPr>
    <w:rPr>
      <w:sz w:val="28"/>
      <w:szCs w:val="28"/>
    </w:rPr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PT Astra Serif" w:hAnsi="PT Astra Serif" w:eastAsia="Tahoma" w:cs="Noto Sans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Заголовок"/>
    <w:basedOn w:val="Normal"/>
    <w:next w:val="BodyText"/>
    <w:qFormat/>
    <w:pPr>
      <w:widowControl/>
      <w:suppressAutoHyphens w:val="true"/>
      <w:overflowPunct w:val="false"/>
      <w:jc w:val="center"/>
    </w:pPr>
    <w:rPr>
      <w:b/>
      <w:bCs/>
      <w:color w:val="000000"/>
      <w:sz w:val="24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user">
    <w:name w:val="Список (user)"/>
    <w:basedOn w:val="BodyText"/>
    <w:qFormat/>
    <w:pPr>
      <w:suppressAutoHyphens w:val="true"/>
    </w:pPr>
    <w:rPr>
      <w:rFonts w:ascii="PT Astra Serif" w:hAnsi="PT Astra Serif" w:eastAsia="PT Astra Serif" w:cs="Noto Sans Devanagari"/>
    </w:rPr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ascii="PT Astra Serif" w:hAnsi="PT Astra Serif" w:eastAsia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uppressAutoHyphens w:val="true"/>
    </w:pPr>
    <w:rPr>
      <w:rFonts w:ascii="PT Astra Serif" w:hAnsi="PT Astra Serif" w:eastAsia="PT Astra Serif" w:cs="Noto Sans Devanagari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ascii="PT Astra Serif" w:hAnsi="PT Astra Serif" w:eastAsia="PT Astra Serif" w:cs="Noto Sans Devanagari"/>
    </w:rPr>
  </w:style>
  <w:style w:type="paragraph" w:styleId="Style22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user1">
    <w:name w:val="Верхний колонтитул (user)"/>
    <w:basedOn w:val="Normal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user2">
    <w:name w:val="Нижний колонтитул (user)"/>
    <w:basedOn w:val="Normal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star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start"/>
      <w:textAlignment w:val="baseline"/>
    </w:pPr>
    <w:rPr>
      <w:rFonts w:ascii="Calibri" w:hAnsi="Calibri" w:eastAsia="Times New Roman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3">
    <w:name w:val="Текст выноски"/>
    <w:basedOn w:val="Normal"/>
    <w:qFormat/>
    <w:pPr>
      <w:suppressAutoHyphens w:val="true"/>
      <w:spacing w:lineRule="exact" w:line="240"/>
    </w:pPr>
    <w:rPr>
      <w:rFonts w:ascii="Tahoma" w:hAnsi="Tahoma" w:eastAsia="Tahoma" w:cs="Tahoma"/>
      <w:sz w:val="16"/>
      <w:szCs w:val="16"/>
    </w:rPr>
  </w:style>
  <w:style w:type="paragraph" w:styleId="consplusnormal1">
    <w:name w:val="consplusnormal1"/>
    <w:basedOn w:val="Normal"/>
    <w:qFormat/>
    <w:pPr>
      <w:widowControl/>
      <w:suppressAutoHyphens w:val="true"/>
      <w:autoSpaceDE w:val="true"/>
      <w:spacing w:before="100" w:after="100"/>
    </w:pPr>
    <w:rPr>
      <w:rFonts w:eastAsia="Calibri"/>
      <w:sz w:val="24"/>
      <w:szCs w:val="24"/>
    </w:rPr>
  </w:style>
  <w:style w:type="paragraph" w:styleId="Style24">
    <w:name w:val="Абзац списка"/>
    <w:basedOn w:val="Normal"/>
    <w:qFormat/>
    <w:pPr>
      <w:tabs>
        <w:tab w:val="clear" w:pos="708"/>
      </w:tabs>
      <w:suppressAutoHyphens w:val="true"/>
      <w:ind w:hanging="0" w:start="720"/>
    </w:pPr>
    <w:rPr/>
  </w:style>
  <w:style w:type="paragraph" w:styleId="Style25">
    <w:name w:val="Исполнитель документа"/>
    <w:basedOn w:val="Normal"/>
    <w:qFormat/>
    <w:pPr>
      <w:suppressAutoHyphens w:val="true"/>
    </w:pPr>
    <w:rPr/>
  </w:style>
  <w:style w:type="paragraph" w:styleId="Style26">
    <w:name w:val="Гриф_Экземпляр"/>
    <w:basedOn w:val="Normal"/>
    <w:qFormat/>
    <w:pPr>
      <w:suppressAutoHyphens w:val="true"/>
    </w:pPr>
    <w:rPr/>
  </w:style>
  <w:style w:type="paragraph" w:styleId="Style27">
    <w:name w:val="Перечень рисунков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8">
    <w:name w:val="Таблица ссылок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PT Astra Serif" w:hAnsi="PT Astra Serif" w:eastAsia="Tahoma" w:cs="Noto Sans Devanaga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IllustrationIndex1">
    <w:name w:val="Illustration Index 1"/>
    <w:qFormat/>
    <w:pPr>
      <w:keepNext w:val="false"/>
      <w:keepLines w:val="false"/>
      <w:pageBreakBefore w:val="false"/>
      <w:widowControl w:val="false"/>
      <w:pBdr/>
      <w:shd w:fill="auto" w:val="clear"/>
      <w:tabs>
        <w:tab w:val="clear" w:pos="708"/>
        <w:tab w:val="right" w:pos="9638" w:leader="dot"/>
      </w:tabs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Продолжение списка 5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9">
    <w:name w:val="Нумерованный список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4">
    <w:name w:val="Продолжение списка 4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51">
    <w:name w:val="Маркированный список 5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3">
    <w:name w:val="Продолжение списка 3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21">
    <w:name w:val="Продолжение списка 2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0">
    <w:name w:val="Продолжение списка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31">
    <w:name w:val="Маркированный список 3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52">
    <w:name w:val="Нумерованный список 5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41">
    <w:name w:val="Нумерованный список 4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32">
    <w:name w:val="Нумерованный список 3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22">
    <w:name w:val="Нумерованный список 2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Маркированный список 4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cs="PT Astra Serif" w:ascii="PT Astra Serif" w:hAnsi="PT Astra Serif" w:eastAsia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1">
    <w:name w:val="Текст примечания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  <w:textAlignment w:val="baseline"/>
    </w:pPr>
    <w:rPr>
      <w:rFonts w:ascii="PT Astra Serif" w:hAnsi="PT Astra Serif" w:eastAsia="Tahoma" w:cs="Noto Sans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2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3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Header">
    <w:name w:val="header"/>
    <w:basedOn w:val="Style22"/>
    <w:pPr>
      <w:suppressLineNumbers/>
    </w:pPr>
    <w:rPr/>
  </w:style>
  <w:style w:type="paragraph" w:styleId="Style34">
    <w:name w:val="Верхний колонтитул слева"/>
    <w:basedOn w:val="user1"/>
    <w:qFormat/>
    <w:pPr>
      <w:suppressLineNumbers/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644</TotalTime>
  <Application>LibreOffice/25.2.7.2$Windows_X86_64 LibreOffice_project/5cbfd1ab6520636bb5f7b99185aa69bd7456825d</Application>
  <AppVersion>15.0000</AppVersion>
  <Pages>3</Pages>
  <Words>931</Words>
  <Characters>5311</Characters>
  <CharactersWithSpaces>6230</CharactersWithSpaces>
  <Paragraphs>12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2026-01-15T16:42:00Z</dcterms:created>
  <dc:creator>*</dc:creator>
  <dc:description/>
  <dc:language>ru-RU</dc:language>
  <cp:lastModifiedBy>Kristina</cp:lastModifiedBy>
  <cp:lastPrinted>2026-02-10T15:35:00Z</cp:lastPrinted>
  <dcterms:modified xsi:type="dcterms:W3CDTF">2026-02-27T07:42:00Z</dcterms:modified>
  <cp:revision>80</cp:revision>
  <dc:subject/>
  <dc:title>Закон Кемеровской области - Кузбасса от 26.12.2025 N 188-ОЗ"О внесении изменений в некоторые законодательные акты в сфере обеспечения деятельности лиц, замещающих государственные должности и муниципальные должности"(принят Законодательным Собранием Кемеровской области - Кузбасса 26.12.2025)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